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315" w:lineRule="atLeast"/>
        <w:ind w:left="0" w:right="0"/>
        <w:jc w:val="center"/>
        <w:rPr>
          <w:sz w:val="30"/>
          <w:szCs w:val="30"/>
        </w:rPr>
      </w:pPr>
      <w:r>
        <w:rPr>
          <w:rStyle w:val="4"/>
          <w:rFonts w:hint="eastAsia" w:ascii="黑体" w:hAnsi="宋体" w:eastAsia="黑体" w:cs="黑体"/>
          <w:b/>
          <w:color w:val="FF0000"/>
          <w:kern w:val="1"/>
          <w:sz w:val="30"/>
          <w:szCs w:val="30"/>
          <w:lang w:val="en-US" w:eastAsia="zh-CN" w:bidi="ar"/>
        </w:rPr>
        <w:t>新疆特殊环境物种保护与调控生物学自治区重点实验室</w:t>
      </w:r>
    </w:p>
    <w:p>
      <w:pPr>
        <w:keepNext w:val="0"/>
        <w:keepLines w:val="0"/>
        <w:widowControl/>
        <w:suppressLineNumbers w:val="0"/>
        <w:spacing w:before="0" w:beforeAutospacing="1" w:after="0" w:afterAutospacing="1" w:line="360" w:lineRule="auto"/>
        <w:ind w:left="0" w:right="0"/>
        <w:jc w:val="center"/>
        <w:rPr>
          <w:sz w:val="30"/>
          <w:szCs w:val="30"/>
        </w:rPr>
      </w:pPr>
      <w:r>
        <w:rPr>
          <w:rStyle w:val="4"/>
          <w:rFonts w:hint="eastAsia" w:ascii="黑体" w:hAnsi="宋体" w:eastAsia="黑体" w:cs="黑体"/>
          <w:b/>
          <w:color w:val="FF0000"/>
          <w:kern w:val="1"/>
          <w:sz w:val="30"/>
          <w:szCs w:val="30"/>
          <w:lang w:val="en-US" w:eastAsia="zh-CN" w:bidi="ar"/>
        </w:rPr>
        <w:t>工作简讯</w:t>
      </w:r>
    </w:p>
    <w:p>
      <w:pPr>
        <w:keepNext w:val="0"/>
        <w:keepLines w:val="0"/>
        <w:widowControl/>
        <w:suppressLineNumbers w:val="0"/>
        <w:spacing w:before="0" w:beforeAutospacing="1" w:after="0" w:afterAutospacing="1" w:line="315" w:lineRule="atLeast"/>
        <w:ind w:left="0" w:right="0"/>
        <w:jc w:val="right"/>
      </w:pPr>
      <w:r>
        <w:rPr>
          <w:rStyle w:val="4"/>
          <w:rFonts w:hint="eastAsia" w:ascii="黑体" w:hAnsi="宋体" w:eastAsia="黑体" w:cs="黑体"/>
          <w:b/>
          <w:color w:val="FF0000"/>
          <w:kern w:val="1"/>
          <w:sz w:val="24"/>
          <w:szCs w:val="24"/>
          <w:lang w:val="en-US" w:eastAsia="zh-CN" w:bidi="ar"/>
        </w:rPr>
        <w:t>2017年</w:t>
      </w:r>
      <w:r>
        <w:rPr>
          <w:rStyle w:val="4"/>
          <w:rFonts w:hint="eastAsia" w:ascii="黑体" w:hAnsi="宋体" w:eastAsia="黑体" w:cs="宋体"/>
          <w:b/>
          <w:color w:val="FF0000"/>
          <w:kern w:val="1"/>
          <w:sz w:val="24"/>
          <w:szCs w:val="24"/>
          <w:lang w:val="en-US" w:eastAsia="zh-CN" w:bidi="ar"/>
        </w:rPr>
        <w:t>4</w:t>
      </w:r>
      <w:r>
        <w:rPr>
          <w:rStyle w:val="4"/>
          <w:rFonts w:hint="eastAsia" w:ascii="黑体" w:hAnsi="宋体" w:eastAsia="黑体" w:cs="黑体"/>
          <w:b/>
          <w:color w:val="FF0000"/>
          <w:kern w:val="1"/>
          <w:sz w:val="24"/>
          <w:szCs w:val="24"/>
          <w:lang w:val="en-US" w:eastAsia="zh-CN" w:bidi="ar"/>
        </w:rPr>
        <w:t>月</w:t>
      </w:r>
      <w:r>
        <w:rPr>
          <w:rStyle w:val="4"/>
          <w:rFonts w:hint="eastAsia" w:ascii="黑体" w:hAnsi="宋体" w:eastAsia="黑体" w:cs="宋体"/>
          <w:b/>
          <w:color w:val="FF0000"/>
          <w:kern w:val="1"/>
          <w:sz w:val="24"/>
          <w:szCs w:val="24"/>
          <w:lang w:val="en-US" w:eastAsia="zh-CN" w:bidi="ar"/>
        </w:rPr>
        <w:t>30</w:t>
      </w:r>
      <w:r>
        <w:rPr>
          <w:rStyle w:val="4"/>
          <w:rFonts w:hint="eastAsia" w:ascii="黑体" w:hAnsi="宋体" w:eastAsia="黑体" w:cs="黑体"/>
          <w:b/>
          <w:color w:val="FF0000"/>
          <w:kern w:val="1"/>
          <w:sz w:val="24"/>
          <w:szCs w:val="24"/>
          <w:lang w:val="en-US" w:eastAsia="zh-CN" w:bidi="ar"/>
        </w:rPr>
        <w:t>日</w:t>
      </w:r>
    </w:p>
    <w:p>
      <w:pPr>
        <w:pStyle w:val="2"/>
        <w:keepNext w:val="0"/>
        <w:keepLines w:val="0"/>
        <w:widowControl/>
        <w:suppressLineNumbers w:val="0"/>
        <w:spacing w:before="0" w:beforeAutospacing="1" w:after="0" w:afterAutospacing="1" w:line="315" w:lineRule="atLeast"/>
        <w:ind w:left="0" w:right="0"/>
        <w:jc w:val="center"/>
      </w:pPr>
      <w:r>
        <w:rPr>
          <w:color w:val="262626"/>
          <w:sz w:val="21"/>
          <w:szCs w:val="21"/>
          <w:shd w:val="clear" w:fill="FFFFFF"/>
        </w:rPr>
        <w:drawing>
          <wp:inline distT="0" distB="0" distL="114300" distR="114300">
            <wp:extent cx="5486400" cy="6667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86400" cy="666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360" w:lineRule="auto"/>
        <w:ind w:left="0" w:right="0" w:firstLine="482"/>
        <w:jc w:val="left"/>
      </w:pPr>
      <w:r>
        <w:rPr>
          <w:rFonts w:hint="eastAsia" w:ascii="宋体" w:hAnsi="宋体" w:eastAsia="宋体" w:cs="宋体"/>
          <w:color w:val="000000"/>
          <w:kern w:val="1"/>
          <w:sz w:val="24"/>
          <w:szCs w:val="24"/>
          <w:lang w:val="en-US" w:eastAsia="zh-CN" w:bidi="ar"/>
        </w:rPr>
        <w:t>为扩大师生在分子遗传学方面的视野，同时提高</w:t>
      </w:r>
      <w:bookmarkStart w:id="0" w:name="_GoBack"/>
      <w:bookmarkEnd w:id="0"/>
      <w:r>
        <w:rPr>
          <w:rFonts w:hint="eastAsia" w:ascii="宋体" w:hAnsi="宋体" w:eastAsia="宋体" w:cs="宋体"/>
          <w:color w:val="000000"/>
          <w:kern w:val="1"/>
          <w:sz w:val="24"/>
          <w:szCs w:val="24"/>
          <w:lang w:val="en-US" w:eastAsia="zh-CN" w:bidi="ar"/>
        </w:rPr>
        <w:t>师生对分子遗传学领域研究的兴趣，我院特邀请</w:t>
      </w:r>
      <w:r>
        <w:rPr>
          <w:rFonts w:hint="eastAsia" w:ascii="宋体" w:hAnsi="宋体" w:eastAsia="宋体" w:cs="宋体"/>
          <w:color w:val="000000"/>
          <w:kern w:val="0"/>
          <w:sz w:val="24"/>
          <w:szCs w:val="24"/>
          <w:lang w:val="en-US" w:eastAsia="zh-CN" w:bidi="ar"/>
        </w:rPr>
        <w:t>西北农林科技大学动物遗传育种与繁殖学科、遗传学科博士生导师，学术带头人，陕西省农业分子生物学重点实验室副主任兼动物部主任</w:t>
      </w:r>
      <w:r>
        <w:rPr>
          <w:rFonts w:hint="eastAsia" w:ascii="宋体" w:hAnsi="宋体" w:eastAsia="宋体" w:cs="宋体"/>
          <w:color w:val="000000"/>
          <w:kern w:val="1"/>
          <w:sz w:val="24"/>
          <w:szCs w:val="24"/>
          <w:lang w:val="en-US" w:eastAsia="zh-CN" w:bidi="ar"/>
        </w:rPr>
        <w:t>来我院进行学术交流活动。此次交流活动于2017年4月18-30日进行，生命科学学院2016级研究生参加了此次学术交流活动。</w:t>
      </w:r>
    </w:p>
    <w:p>
      <w:pPr>
        <w:keepNext w:val="0"/>
        <w:keepLines w:val="0"/>
        <w:widowControl/>
        <w:suppressLineNumbers w:val="0"/>
        <w:spacing w:before="0" w:beforeAutospacing="1" w:after="0" w:afterAutospacing="1" w:line="360" w:lineRule="auto"/>
        <w:ind w:left="0" w:right="0" w:firstLine="482"/>
        <w:jc w:val="left"/>
      </w:pPr>
      <w:r>
        <w:rPr>
          <w:rFonts w:hint="eastAsia" w:ascii="宋体" w:hAnsi="宋体" w:eastAsia="宋体" w:cs="宋体"/>
          <w:color w:val="000000"/>
          <w:kern w:val="0"/>
          <w:sz w:val="24"/>
          <w:szCs w:val="24"/>
          <w:lang w:val="en-US" w:eastAsia="zh-CN" w:bidi="ar"/>
        </w:rPr>
        <w:t>陈宏，男，陕西省西安市人，留德遗传学博士、博士后，教授（二级），现为西北农林科技大学动物遗传育种与繁殖学科、遗传学科博士生导师，学术带头人，陕西省农业分子生物学重点实验室副主任兼动物部主任。</w:t>
      </w:r>
      <w:r>
        <w:rPr>
          <w:rFonts w:hint="eastAsia" w:ascii="宋体" w:hAnsi="宋体" w:eastAsia="宋体" w:cs="Calibri"/>
          <w:color w:val="000000"/>
          <w:kern w:val="0"/>
          <w:sz w:val="24"/>
          <w:szCs w:val="24"/>
          <w:lang w:val="en-US" w:eastAsia="zh-CN" w:bidi="ar"/>
        </w:rPr>
        <w:t>1978年2至月1981年12月在西北农学院畜牧系动物科学专业学习，获学士学位。1987年9月至1990年9月在西北农业大学攻读动物遗传育种专业硕士学位；1991年8月至1992年8月在德国吉森大学做</w:t>
      </w:r>
      <w:r>
        <w:rPr>
          <w:rFonts w:hint="eastAsia" w:ascii="宋体" w:hAnsi="宋体" w:eastAsia="宋体" w:cs="宋体"/>
          <w:color w:val="000000"/>
          <w:kern w:val="0"/>
          <w:sz w:val="24"/>
          <w:szCs w:val="24"/>
          <w:lang w:val="en-US" w:eastAsia="zh-CN" w:bidi="ar"/>
        </w:rPr>
        <w:t>访问学者；</w:t>
      </w:r>
      <w:r>
        <w:rPr>
          <w:rFonts w:hint="eastAsia" w:ascii="宋体" w:hAnsi="宋体" w:eastAsia="宋体" w:cs="Calibri"/>
          <w:color w:val="000000"/>
          <w:kern w:val="0"/>
          <w:sz w:val="24"/>
          <w:szCs w:val="24"/>
          <w:lang w:val="en-US" w:eastAsia="zh-CN" w:bidi="ar"/>
        </w:rPr>
        <w:t>1992</w:t>
      </w:r>
      <w:r>
        <w:rPr>
          <w:rFonts w:hint="eastAsia" w:ascii="宋体" w:hAnsi="宋体" w:eastAsia="宋体" w:cs="宋体"/>
          <w:color w:val="000000"/>
          <w:kern w:val="0"/>
          <w:sz w:val="24"/>
          <w:szCs w:val="24"/>
          <w:lang w:val="en-US" w:eastAsia="zh-CN" w:bidi="ar"/>
        </w:rPr>
        <w:t>年</w:t>
      </w:r>
      <w:r>
        <w:rPr>
          <w:rFonts w:hint="default" w:ascii="Calibri" w:hAnsi="Calibri" w:eastAsia="宋体" w:cs="Calibri"/>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月至</w:t>
      </w:r>
      <w:r>
        <w:rPr>
          <w:rFonts w:hint="default" w:ascii="Calibri" w:hAnsi="Calibri" w:eastAsia="宋体" w:cs="Calibri"/>
          <w:color w:val="000000"/>
          <w:kern w:val="0"/>
          <w:sz w:val="24"/>
          <w:szCs w:val="24"/>
          <w:lang w:val="en-US" w:eastAsia="zh-CN" w:bidi="ar"/>
        </w:rPr>
        <w:t>1996</w:t>
      </w:r>
      <w:r>
        <w:rPr>
          <w:rFonts w:hint="eastAsia" w:ascii="宋体" w:hAnsi="宋体" w:eastAsia="宋体" w:cs="宋体"/>
          <w:color w:val="000000"/>
          <w:kern w:val="0"/>
          <w:sz w:val="24"/>
          <w:szCs w:val="24"/>
          <w:lang w:val="en-US" w:eastAsia="zh-CN" w:bidi="ar"/>
        </w:rPr>
        <w:t>年</w:t>
      </w:r>
      <w:r>
        <w:rPr>
          <w:rFonts w:hint="default" w:ascii="Calibri" w:hAnsi="Calibri" w:eastAsia="宋体" w:cs="Calibri"/>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月在德国萨尔大学攻读遗传学博士学位；</w:t>
      </w:r>
      <w:r>
        <w:rPr>
          <w:rFonts w:hint="eastAsia" w:ascii="宋体" w:hAnsi="宋体" w:eastAsia="宋体" w:cs="Calibri"/>
          <w:color w:val="000000"/>
          <w:kern w:val="0"/>
          <w:sz w:val="24"/>
          <w:szCs w:val="24"/>
          <w:lang w:val="en-US" w:eastAsia="zh-CN" w:bidi="ar"/>
        </w:rPr>
        <w:t>1996年5月年至1998</w:t>
      </w:r>
      <w:r>
        <w:rPr>
          <w:rFonts w:hint="eastAsia" w:ascii="宋体" w:hAnsi="宋体" w:eastAsia="宋体" w:cs="宋体"/>
          <w:color w:val="000000"/>
          <w:kern w:val="0"/>
          <w:sz w:val="24"/>
          <w:szCs w:val="24"/>
          <w:lang w:val="en-US" w:eastAsia="zh-CN" w:bidi="ar"/>
        </w:rPr>
        <w:t>年10月在德国耶拿大学做博士后研究工作。</w:t>
      </w:r>
    </w:p>
    <w:p>
      <w:pPr>
        <w:keepNext w:val="0"/>
        <w:keepLines w:val="0"/>
        <w:widowControl/>
        <w:suppressLineNumbers w:val="0"/>
        <w:spacing w:before="0" w:beforeAutospacing="1" w:after="0" w:afterAutospacing="1" w:line="360" w:lineRule="auto"/>
        <w:ind w:left="0" w:right="0" w:firstLine="482"/>
        <w:jc w:val="center"/>
      </w:pPr>
      <w:r>
        <w:rPr>
          <w:rFonts w:hint="eastAsia" w:ascii="宋体" w:hAnsi="宋体" w:eastAsia="宋体" w:cs="宋体"/>
          <w:color w:val="000000"/>
          <w:kern w:val="0"/>
          <w:sz w:val="24"/>
          <w:szCs w:val="24"/>
          <w:lang w:val="en-US" w:eastAsia="zh-CN" w:bidi="ar"/>
        </w:rPr>
        <w:t>1981年12月毕业后一直在西北农业大学和西北农林科技大学工作。2001年获国务院政府特殊津贴获得者、2005年获全国优秀农业科教工作者、2010年获陕西省教学名师，2011年获陕西省师德标兵，2012年获全国宝钢优秀教师奖。主要学术兼职有第四、第五届国家教育部科学技术委员会生命科学部委员；国家肉牛牦牛产业技术体系遗传育种岗位专家；第十三、十四届中国细胞生物学学会常务理事；中国畜牧兽医学会动物遗传标记学分会副理事长；中国畜牧兽医学会养牛学分会副理事长；中国农业生物技术学会动物生物技术学分会理事；中国畜牧兽医学会动物遗传育种学分会理事；中国黄牛育种委员会常务理事兼副秘书长；中国肉牛经济专业委员会常务理事；农业部教材建设专家委员会委员；陕西省遗传学会副理事长，陕西省秦川牛产业协会副理事长、陕西省细胞生物学学会副理事长，陕西省生物化学与分子生物学学会副理事长，《中国牛业科学》主编。</w:t>
      </w:r>
    </w:p>
    <w:p>
      <w:pPr>
        <w:keepNext w:val="0"/>
        <w:keepLines w:val="0"/>
        <w:widowControl/>
        <w:suppressLineNumbers w:val="0"/>
        <w:spacing w:before="0" w:beforeAutospacing="1" w:after="0" w:afterAutospacing="1" w:line="360" w:lineRule="auto"/>
        <w:ind w:left="0" w:right="0" w:firstLine="482"/>
        <w:jc w:val="left"/>
      </w:pPr>
      <w:r>
        <w:rPr>
          <w:rFonts w:hint="eastAsia" w:ascii="宋体" w:hAnsi="宋体" w:eastAsia="宋体" w:cs="宋体"/>
          <w:color w:val="000000"/>
          <w:kern w:val="0"/>
          <w:sz w:val="24"/>
          <w:szCs w:val="24"/>
          <w:lang w:val="en-US" w:eastAsia="zh-CN" w:bidi="ar"/>
        </w:rPr>
        <w:t>一直从事动物遗传资源与分子进化、动物基因组与基因功能研究，先后主持国家</w:t>
      </w:r>
      <w:r>
        <w:rPr>
          <w:rFonts w:hint="default" w:ascii="Calibri" w:hAnsi="Calibri" w:eastAsia="宋体" w:cs="Calibri"/>
          <w:color w:val="000000"/>
          <w:kern w:val="0"/>
          <w:sz w:val="24"/>
          <w:szCs w:val="24"/>
          <w:lang w:val="en-US" w:eastAsia="zh-CN" w:bidi="ar"/>
        </w:rPr>
        <w:t>863</w:t>
      </w:r>
      <w:r>
        <w:rPr>
          <w:rFonts w:hint="eastAsia" w:ascii="宋体" w:hAnsi="宋体" w:eastAsia="宋体" w:cs="宋体"/>
          <w:color w:val="000000"/>
          <w:kern w:val="0"/>
          <w:sz w:val="24"/>
          <w:szCs w:val="24"/>
          <w:lang w:val="en-US" w:eastAsia="zh-CN" w:bidi="ar"/>
        </w:rPr>
        <w:t>项目</w:t>
      </w:r>
      <w:r>
        <w:rPr>
          <w:rFonts w:hint="default" w:ascii="Calibri" w:hAnsi="Calibri" w:eastAsia="宋体" w:cs="Calibr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项，参与</w:t>
      </w:r>
      <w:r>
        <w:rPr>
          <w:rFonts w:hint="default" w:ascii="Calibri" w:hAnsi="Calibri" w:eastAsia="宋体" w:cs="Calibri"/>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项、主持国家自然科学基金项目</w:t>
      </w:r>
      <w:r>
        <w:rPr>
          <w:rFonts w:hint="default" w:ascii="Calibri" w:hAnsi="Calibri" w:eastAsia="宋体" w:cs="Calibri"/>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项，国家支撑计划子项目、转基因重大专项子项目、国家农业产业技术体系专项等各类项目</w:t>
      </w:r>
      <w:r>
        <w:rPr>
          <w:rFonts w:hint="default" w:ascii="Calibri" w:hAnsi="Calibri" w:eastAsia="宋体" w:cs="Calibri"/>
          <w:color w:val="000000"/>
          <w:kern w:val="0"/>
          <w:sz w:val="24"/>
          <w:szCs w:val="24"/>
          <w:lang w:val="en-US" w:eastAsia="zh-CN" w:bidi="ar"/>
        </w:rPr>
        <w:t>30</w:t>
      </w:r>
      <w:r>
        <w:rPr>
          <w:rFonts w:hint="eastAsia" w:ascii="宋体" w:hAnsi="宋体" w:eastAsia="宋体" w:cs="宋体"/>
          <w:color w:val="000000"/>
          <w:kern w:val="0"/>
          <w:sz w:val="24"/>
          <w:szCs w:val="24"/>
          <w:lang w:val="en-US" w:eastAsia="zh-CN" w:bidi="ar"/>
        </w:rPr>
        <w:t>余项，发表论文</w:t>
      </w:r>
      <w:r>
        <w:rPr>
          <w:rFonts w:hint="default" w:ascii="Calibri" w:hAnsi="Calibri" w:eastAsia="宋体" w:cs="Calibri"/>
          <w:color w:val="000000"/>
          <w:kern w:val="0"/>
          <w:sz w:val="24"/>
          <w:szCs w:val="24"/>
          <w:lang w:val="en-US" w:eastAsia="zh-CN" w:bidi="ar"/>
        </w:rPr>
        <w:t>350</w:t>
      </w:r>
      <w:r>
        <w:rPr>
          <w:rFonts w:hint="eastAsia" w:ascii="宋体" w:hAnsi="宋体" w:eastAsia="宋体" w:cs="宋体"/>
          <w:color w:val="000000"/>
          <w:kern w:val="0"/>
          <w:sz w:val="24"/>
          <w:szCs w:val="24"/>
          <w:lang w:val="en-US" w:eastAsia="zh-CN" w:bidi="ar"/>
        </w:rPr>
        <w:t>余篇，其中</w:t>
      </w:r>
      <w:r>
        <w:rPr>
          <w:rFonts w:hint="default" w:ascii="Calibri" w:hAnsi="Calibri" w:eastAsia="宋体" w:cs="Calibri"/>
          <w:color w:val="000000"/>
          <w:kern w:val="0"/>
          <w:sz w:val="24"/>
          <w:szCs w:val="24"/>
          <w:lang w:val="en-US" w:eastAsia="zh-CN" w:bidi="ar"/>
        </w:rPr>
        <w:t>SCI</w:t>
      </w:r>
      <w:r>
        <w:rPr>
          <w:rFonts w:hint="eastAsia" w:ascii="宋体" w:hAnsi="宋体" w:eastAsia="宋体" w:cs="宋体"/>
          <w:color w:val="000000"/>
          <w:kern w:val="0"/>
          <w:sz w:val="24"/>
          <w:szCs w:val="24"/>
          <w:lang w:val="en-US" w:eastAsia="zh-CN" w:bidi="ar"/>
        </w:rPr>
        <w:t>论文</w:t>
      </w:r>
      <w:r>
        <w:rPr>
          <w:rFonts w:hint="default" w:ascii="Calibri" w:hAnsi="Calibri" w:eastAsia="宋体" w:cs="Calibri"/>
          <w:color w:val="000000"/>
          <w:kern w:val="0"/>
          <w:sz w:val="24"/>
          <w:szCs w:val="24"/>
          <w:lang w:val="en-US" w:eastAsia="zh-CN" w:bidi="ar"/>
        </w:rPr>
        <w:t>230</w:t>
      </w:r>
      <w:r>
        <w:rPr>
          <w:rFonts w:hint="eastAsia" w:ascii="宋体" w:hAnsi="宋体" w:eastAsia="宋体" w:cs="宋体"/>
          <w:color w:val="000000"/>
          <w:kern w:val="0"/>
          <w:sz w:val="24"/>
          <w:szCs w:val="24"/>
          <w:lang w:val="en-US" w:eastAsia="zh-CN" w:bidi="ar"/>
        </w:rPr>
        <w:t>余篇。主编、副主编和参编教材著作</w:t>
      </w:r>
      <w:r>
        <w:rPr>
          <w:rFonts w:hint="default" w:ascii="Calibri" w:hAnsi="Calibri" w:eastAsia="宋体" w:cs="Calibri"/>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部，获国家科技进步二等奖</w:t>
      </w:r>
      <w:r>
        <w:rPr>
          <w:rFonts w:hint="default" w:ascii="Calibri" w:hAnsi="Calibri" w:eastAsia="宋体" w:cs="Calibr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项，省科技进步一等奖</w:t>
      </w:r>
      <w:r>
        <w:rPr>
          <w:rFonts w:hint="default" w:ascii="Calibri" w:hAnsi="Calibri" w:eastAsia="宋体" w:cs="Calibri"/>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项、二等奖</w:t>
      </w:r>
      <w:r>
        <w:rPr>
          <w:rFonts w:hint="default" w:ascii="Calibri" w:hAnsi="Calibri" w:eastAsia="宋体" w:cs="Calibri"/>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项、三等奖</w:t>
      </w:r>
      <w:r>
        <w:rPr>
          <w:rFonts w:hint="default" w:ascii="Calibri" w:hAnsi="Calibri" w:eastAsia="宋体" w:cs="Calibri"/>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项，获得国家发明专利</w:t>
      </w:r>
      <w:r>
        <w:rPr>
          <w:rFonts w:hint="default" w:ascii="Calibri" w:hAnsi="Calibri" w:eastAsia="宋体" w:cs="Calibri"/>
          <w:color w:val="000000"/>
          <w:kern w:val="0"/>
          <w:sz w:val="24"/>
          <w:szCs w:val="24"/>
          <w:lang w:val="en-US" w:eastAsia="zh-CN" w:bidi="ar"/>
        </w:rPr>
        <w:t>35</w:t>
      </w:r>
      <w:r>
        <w:rPr>
          <w:rFonts w:hint="eastAsia" w:ascii="宋体" w:hAnsi="宋体" w:eastAsia="宋体" w:cs="宋体"/>
          <w:color w:val="000000"/>
          <w:kern w:val="0"/>
          <w:sz w:val="24"/>
          <w:szCs w:val="24"/>
          <w:lang w:val="en-US" w:eastAsia="zh-CN" w:bidi="ar"/>
        </w:rPr>
        <w:t>项。获省优秀教学成果一、二等奖各</w:t>
      </w:r>
      <w:r>
        <w:rPr>
          <w:rFonts w:hint="default" w:ascii="Calibri" w:hAnsi="Calibri" w:eastAsia="宋体" w:cs="Calibri"/>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项，获国家授权发明专利</w:t>
      </w:r>
      <w:r>
        <w:rPr>
          <w:rFonts w:hint="default" w:ascii="Calibri" w:hAnsi="Calibri" w:eastAsia="宋体" w:cs="Calibri"/>
          <w:color w:val="000000"/>
          <w:kern w:val="0"/>
          <w:sz w:val="24"/>
          <w:szCs w:val="24"/>
          <w:lang w:val="en-US" w:eastAsia="zh-CN" w:bidi="ar"/>
        </w:rPr>
        <w:t>35</w:t>
      </w:r>
      <w:r>
        <w:rPr>
          <w:rFonts w:hint="eastAsia" w:ascii="宋体" w:hAnsi="宋体" w:eastAsia="宋体" w:cs="宋体"/>
          <w:color w:val="000000"/>
          <w:kern w:val="0"/>
          <w:sz w:val="24"/>
          <w:szCs w:val="24"/>
          <w:lang w:val="en-US" w:eastAsia="zh-CN" w:bidi="ar"/>
        </w:rPr>
        <w:t>项。</w:t>
      </w:r>
    </w:p>
    <w:p>
      <w:pPr>
        <w:keepNext w:val="0"/>
        <w:keepLines w:val="0"/>
        <w:widowControl/>
        <w:suppressLineNumbers w:val="0"/>
        <w:spacing w:before="0" w:beforeAutospacing="1" w:after="0" w:afterAutospacing="1" w:line="360" w:lineRule="auto"/>
        <w:ind w:left="0" w:right="0" w:firstLine="480" w:firstLineChars="200"/>
        <w:jc w:val="left"/>
      </w:pPr>
      <w:r>
        <w:rPr>
          <w:rFonts w:hint="eastAsia" w:ascii="宋体" w:hAnsi="宋体" w:eastAsia="宋体" w:cs="宋体"/>
          <w:color w:val="000000"/>
          <w:kern w:val="0"/>
          <w:sz w:val="24"/>
          <w:szCs w:val="24"/>
          <w:lang w:val="en-US" w:eastAsia="zh-CN" w:bidi="ar"/>
        </w:rPr>
        <w:t>陈宏教授主讲内容，分别讲解了</w:t>
      </w:r>
      <w:r>
        <w:rPr>
          <w:rFonts w:hint="eastAsia" w:ascii="Calibri" w:hAnsi="Calibri" w:eastAsia="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表观遗传学</w:t>
      </w:r>
      <w:r>
        <w:rPr>
          <w:rFonts w:hint="eastAsia" w:ascii="Calibri" w:hAnsi="Calibri"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分子遗传学研究进展</w:t>
      </w:r>
      <w:r>
        <w:rPr>
          <w:rFonts w:hint="eastAsia" w:ascii="Calibri" w:hAnsi="Calibri"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等内容。平易近人的陈宏教授声情并茂地为同学们讲解目前分子遗传的前沿知识，讲解的过程中也向在座的同学提出一些问题，</w:t>
      </w:r>
      <w:r>
        <w:rPr>
          <w:rFonts w:hint="eastAsia" w:ascii="宋体" w:hAnsi="宋体" w:eastAsia="宋体" w:cs="宋体"/>
          <w:color w:val="000000"/>
          <w:kern w:val="1"/>
          <w:sz w:val="24"/>
          <w:szCs w:val="24"/>
          <w:lang w:val="en-US" w:eastAsia="zh-CN" w:bidi="ar"/>
        </w:rPr>
        <w:t>同学们认真聆听讲座，并就相关问题与陈宏教授进行交流，面对学生的问题，陈宏教授也耐心细致的解答，使同学们受益匪浅。</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此次学术交流活动，对我院研究生培养工作和学院学科建设与发展都具有积极意义，是一次成功的学术交流活动。</w:t>
      </w:r>
    </w:p>
    <w:tbl>
      <w:tblPr>
        <w:tblW w:w="8304" w:type="dxa"/>
        <w:jc w:val="center"/>
        <w:tblCellSpacing w:w="0" w:type="dxa"/>
        <w:tblInd w:w="1" w:type="dxa"/>
        <w:shd w:val="clear"/>
        <w:tblLayout w:type="fixed"/>
        <w:tblCellMar>
          <w:top w:w="0" w:type="dxa"/>
          <w:left w:w="0" w:type="dxa"/>
          <w:bottom w:w="0" w:type="dxa"/>
          <w:right w:w="0" w:type="dxa"/>
        </w:tblCellMar>
      </w:tblPr>
      <w:tblGrid>
        <w:gridCol w:w="4158"/>
        <w:gridCol w:w="13"/>
        <w:gridCol w:w="4133"/>
      </w:tblGrid>
      <w:tr>
        <w:tblPrEx>
          <w:shd w:val="clear"/>
          <w:tblLayout w:type="fixed"/>
          <w:tblCellMar>
            <w:top w:w="0" w:type="dxa"/>
            <w:left w:w="0" w:type="dxa"/>
            <w:bottom w:w="0" w:type="dxa"/>
            <w:right w:w="0" w:type="dxa"/>
          </w:tblCellMar>
        </w:tblPrEx>
        <w:trPr>
          <w:tblCellSpacing w:w="0" w:type="dxa"/>
          <w:jc w:val="center"/>
        </w:trPr>
        <w:tc>
          <w:tcPr>
            <w:tcW w:w="4158"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auto"/>
                <w:sz w:val="18"/>
                <w:szCs w:val="18"/>
                <w:u w:val="none"/>
                <w:shd w:val="clear" w:fill="FFFFFF"/>
              </w:rPr>
              <w:drawing>
                <wp:inline distT="0" distB="0" distL="114300" distR="114300">
                  <wp:extent cx="3228975" cy="2085975"/>
                  <wp:effectExtent l="0" t="0" r="9525" b="9525"/>
                  <wp:docPr id="3" name="图片 2" descr="陈教授深入讲解相关知识">
                    <a:hlinkClick xmlns:a="http://schemas.openxmlformats.org/drawingml/2006/main" r:id="rId5"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陈教授深入讲解相关知识"/>
                          <pic:cNvPicPr>
                            <a:picLocks noChangeAspect="1"/>
                          </pic:cNvPicPr>
                        </pic:nvPicPr>
                        <pic:blipFill>
                          <a:blip r:embed="rId6"/>
                          <a:stretch>
                            <a:fillRect/>
                          </a:stretch>
                        </pic:blipFill>
                        <pic:spPr>
                          <a:xfrm>
                            <a:off x="0" y="0"/>
                            <a:ext cx="3228975" cy="2085975"/>
                          </a:xfrm>
                          <a:prstGeom prst="rect">
                            <a:avLst/>
                          </a:prstGeom>
                          <a:noFill/>
                          <a:ln w="9525">
                            <a:noFill/>
                          </a:ln>
                        </pic:spPr>
                      </pic:pic>
                    </a:graphicData>
                  </a:graphic>
                </wp:inline>
              </w:drawing>
            </w:r>
          </w:p>
        </w:tc>
        <w:tc>
          <w:tcPr>
            <w:tcW w:w="13"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262626"/>
                <w:kern w:val="0"/>
                <w:sz w:val="18"/>
                <w:szCs w:val="18"/>
                <w:shd w:val="clear" w:fill="FFFFFF"/>
                <w:lang w:val="en-US" w:eastAsia="zh-CN" w:bidi="ar"/>
              </w:rPr>
              <w:drawing>
                <wp:inline distT="0" distB="0" distL="114300" distR="114300">
                  <wp:extent cx="9525" cy="9525"/>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tc>
        <w:tc>
          <w:tcPr>
            <w:tcW w:w="4133"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auto"/>
                <w:sz w:val="18"/>
                <w:szCs w:val="18"/>
                <w:u w:val="none"/>
                <w:shd w:val="clear" w:fill="FFFFFF"/>
              </w:rPr>
              <w:drawing>
                <wp:inline distT="0" distB="0" distL="114300" distR="114300">
                  <wp:extent cx="3219450" cy="2085975"/>
                  <wp:effectExtent l="0" t="0" r="0" b="9525"/>
                  <wp:docPr id="2" name="图片 4" descr="师生交流">
                    <a:hlinkClick xmlns:a="http://schemas.openxmlformats.org/drawingml/2006/main" r:id="rId8"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师生交流"/>
                          <pic:cNvPicPr>
                            <a:picLocks noChangeAspect="1"/>
                          </pic:cNvPicPr>
                        </pic:nvPicPr>
                        <pic:blipFill>
                          <a:blip r:embed="rId9"/>
                          <a:stretch>
                            <a:fillRect/>
                          </a:stretch>
                        </pic:blipFill>
                        <pic:spPr>
                          <a:xfrm>
                            <a:off x="0" y="0"/>
                            <a:ext cx="3219450" cy="2085975"/>
                          </a:xfrm>
                          <a:prstGeom prst="rect">
                            <a:avLst/>
                          </a:prstGeom>
                          <a:noFill/>
                          <a:ln w="9525">
                            <a:noFill/>
                          </a:ln>
                        </pic:spPr>
                      </pic:pic>
                    </a:graphicData>
                  </a:graphic>
                </wp:inline>
              </w:drawing>
            </w:r>
          </w:p>
        </w:tc>
      </w:tr>
      <w:tr>
        <w:tblPrEx>
          <w:tblLayout w:type="fixed"/>
          <w:tblCellMar>
            <w:top w:w="0" w:type="dxa"/>
            <w:left w:w="0" w:type="dxa"/>
            <w:bottom w:w="0" w:type="dxa"/>
            <w:right w:w="0" w:type="dxa"/>
          </w:tblCellMar>
        </w:tblPrEx>
        <w:trPr>
          <w:tblCellSpacing w:w="0" w:type="dxa"/>
          <w:jc w:val="center"/>
        </w:trPr>
        <w:tc>
          <w:tcPr>
            <w:tcW w:w="4158" w:type="dxa"/>
            <w:shd w:val="clear"/>
            <w:vAlign w:val="center"/>
          </w:tcPr>
          <w:p>
            <w:pPr>
              <w:keepNext w:val="0"/>
              <w:keepLines w:val="0"/>
              <w:widowControl/>
              <w:suppressLineNumbers w:val="0"/>
              <w:wordWrap w:val="0"/>
              <w:spacing w:line="450" w:lineRule="atLeast"/>
              <w:jc w:val="center"/>
              <w:rPr>
                <w:color w:val="262626"/>
                <w:sz w:val="18"/>
                <w:szCs w:val="18"/>
              </w:rPr>
            </w:pPr>
            <w:r>
              <w:rPr>
                <w:rFonts w:ascii="宋体" w:hAnsi="宋体" w:eastAsia="宋体" w:cs="宋体"/>
                <w:color w:val="262626"/>
                <w:kern w:val="0"/>
                <w:sz w:val="18"/>
                <w:szCs w:val="18"/>
                <w:lang w:val="en-US" w:eastAsia="zh-CN" w:bidi="ar"/>
              </w:rPr>
              <w:t>陈教授深入讲解相关知识</w:t>
            </w:r>
          </w:p>
        </w:tc>
        <w:tc>
          <w:tcPr>
            <w:tcW w:w="13" w:type="dxa"/>
            <w:shd w:val="clear"/>
            <w:vAlign w:val="center"/>
          </w:tcPr>
          <w:p>
            <w:pPr>
              <w:keepNext w:val="0"/>
              <w:keepLines w:val="0"/>
              <w:widowControl/>
              <w:suppressLineNumbers w:val="0"/>
              <w:jc w:val="center"/>
              <w:rPr>
                <w:color w:val="262626"/>
                <w:sz w:val="18"/>
                <w:szCs w:val="18"/>
              </w:rPr>
            </w:pPr>
            <w:r>
              <w:rPr>
                <w:rFonts w:ascii="宋体" w:hAnsi="宋体" w:eastAsia="宋体" w:cs="宋体"/>
                <w:color w:val="262626"/>
                <w:kern w:val="0"/>
                <w:sz w:val="18"/>
                <w:szCs w:val="18"/>
                <w:shd w:val="clear" w:fill="FFFFFF"/>
                <w:lang w:val="en-US" w:eastAsia="zh-CN" w:bidi="ar"/>
              </w:rPr>
              <w:drawing>
                <wp:inline distT="0" distB="0" distL="114300" distR="114300">
                  <wp:extent cx="9525" cy="9525"/>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tc>
        <w:tc>
          <w:tcPr>
            <w:tcW w:w="4133" w:type="dxa"/>
            <w:shd w:val="clear"/>
            <w:vAlign w:val="center"/>
          </w:tcPr>
          <w:p>
            <w:pPr>
              <w:keepNext w:val="0"/>
              <w:keepLines w:val="0"/>
              <w:widowControl/>
              <w:suppressLineNumbers w:val="0"/>
              <w:wordWrap w:val="0"/>
              <w:spacing w:line="450" w:lineRule="atLeast"/>
              <w:jc w:val="center"/>
              <w:rPr>
                <w:color w:val="262626"/>
                <w:sz w:val="18"/>
                <w:szCs w:val="18"/>
              </w:rPr>
            </w:pPr>
            <w:r>
              <w:rPr>
                <w:rFonts w:ascii="宋体" w:hAnsi="宋体" w:eastAsia="宋体" w:cs="宋体"/>
                <w:color w:val="262626"/>
                <w:kern w:val="0"/>
                <w:sz w:val="18"/>
                <w:szCs w:val="18"/>
                <w:lang w:val="en-US" w:eastAsia="zh-CN" w:bidi="ar"/>
              </w:rPr>
              <w:t>师生交流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E001F"/>
    <w:rsid w:val="59BF6280"/>
    <w:rsid w:val="6526362E"/>
    <w:rsid w:val="695E0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262626"/>
      <w:sz w:val="18"/>
      <w:szCs w:val="18"/>
      <w:u w:val="none"/>
    </w:rPr>
  </w:style>
  <w:style w:type="character" w:styleId="6">
    <w:name w:val="Hyperlink"/>
    <w:basedOn w:val="3"/>
    <w:uiPriority w:val="0"/>
    <w:rPr>
      <w:color w:val="262626"/>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hyperlink" Target="http://smkxxy.xjnu.edu.cn/control/FCKeditor/editor/dialog/showOriginalImg.html?img=/picture/article/95/00/bc/b389b54d4c7c92eb1da40b0dd5ed/93dda41c-f012-41f8-8503-81b0d41668ce_d.png" TargetMode="External"/><Relationship Id="rId7" Type="http://schemas.openxmlformats.org/officeDocument/2006/relationships/image" Target="media/image3.GIF"/><Relationship Id="rId6" Type="http://schemas.openxmlformats.org/officeDocument/2006/relationships/image" Target="media/image2.jpeg"/><Relationship Id="rId5" Type="http://schemas.openxmlformats.org/officeDocument/2006/relationships/hyperlink" Target="http://smkxxy.xjnu.edu.cn/control/FCKeditor/editor/dialog/showOriginalImg.html?img=/picture/article/95/00/bc/b389b54d4c7c92eb1da40b0dd5ed/de1fcef0-88b9-4043-9908-b4dda4d7475f_d.pn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2017-09-21T08:29:00Z</dcterms:created>
  <dc:creator>lenovo</dc:creator>
  <cp:lastModifiedBy>lenovo</cp:lastModifiedBy>
  <dcterms:modified xsi:type="dcterms:W3CDTF">2017-09-21T08:34:21Z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