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15" w:lineRule="atLeast"/>
        <w:ind w:left="0" w:right="0"/>
        <w:jc w:val="center"/>
        <w:rPr>
          <w:sz w:val="30"/>
          <w:szCs w:val="30"/>
        </w:rPr>
      </w:pPr>
      <w:r>
        <w:rPr>
          <w:rStyle w:val="4"/>
          <w:rFonts w:hint="eastAsia" w:ascii="黑体" w:hAnsi="宋体" w:eastAsia="黑体" w:cs="黑体"/>
          <w:b/>
          <w:color w:val="FF0000"/>
          <w:kern w:val="1"/>
          <w:sz w:val="30"/>
          <w:szCs w:val="30"/>
          <w:lang w:val="en-US" w:eastAsia="zh-CN" w:bidi="ar"/>
        </w:rPr>
        <w:t>新疆特殊环境物种保护与调控生物学自治区重点实验室</w:t>
      </w:r>
    </w:p>
    <w:p>
      <w:pPr>
        <w:keepNext w:val="0"/>
        <w:keepLines w:val="0"/>
        <w:widowControl/>
        <w:suppressLineNumbers w:val="0"/>
        <w:spacing w:before="0" w:beforeAutospacing="1" w:after="0" w:afterAutospacing="1" w:line="360" w:lineRule="auto"/>
        <w:ind w:left="0" w:right="0"/>
        <w:jc w:val="center"/>
        <w:rPr>
          <w:sz w:val="30"/>
          <w:szCs w:val="30"/>
        </w:rPr>
      </w:pPr>
      <w:r>
        <w:rPr>
          <w:rStyle w:val="4"/>
          <w:rFonts w:hint="eastAsia" w:ascii="黑体" w:hAnsi="宋体" w:eastAsia="黑体" w:cs="黑体"/>
          <w:b/>
          <w:color w:val="FF0000"/>
          <w:kern w:val="1"/>
          <w:sz w:val="30"/>
          <w:szCs w:val="30"/>
          <w:lang w:val="en-US" w:eastAsia="zh-CN" w:bidi="ar"/>
        </w:rPr>
        <w:t>工作简讯</w:t>
      </w:r>
    </w:p>
    <w:p>
      <w:pPr>
        <w:keepNext w:val="0"/>
        <w:keepLines w:val="0"/>
        <w:widowControl/>
        <w:suppressLineNumbers w:val="0"/>
        <w:spacing w:before="0" w:beforeAutospacing="1" w:after="0" w:afterAutospacing="1" w:line="315" w:lineRule="atLeast"/>
        <w:ind w:left="0" w:right="0"/>
        <w:jc w:val="right"/>
      </w:pPr>
      <w:r>
        <w:rPr>
          <w:rStyle w:val="4"/>
          <w:rFonts w:hint="eastAsia" w:ascii="黑体" w:hAnsi="宋体" w:eastAsia="黑体" w:cs="黑体"/>
          <w:b/>
          <w:color w:val="FF0000"/>
          <w:kern w:val="1"/>
          <w:sz w:val="24"/>
          <w:szCs w:val="24"/>
          <w:lang w:val="en-US" w:eastAsia="zh-CN" w:bidi="ar"/>
        </w:rPr>
        <w:t xml:space="preserve"> </w:t>
      </w:r>
      <w:r>
        <w:rPr>
          <w:rStyle w:val="4"/>
          <w:rFonts w:hint="eastAsia" w:ascii="黑体" w:hAnsi="宋体" w:eastAsia="黑体" w:cs="宋体"/>
          <w:b/>
          <w:color w:val="FF0000"/>
          <w:kern w:val="1"/>
          <w:sz w:val="24"/>
          <w:szCs w:val="24"/>
          <w:lang w:val="en-US" w:eastAsia="zh-CN" w:bidi="ar"/>
        </w:rPr>
        <w:t xml:space="preserve"> </w:t>
      </w:r>
      <w:r>
        <w:rPr>
          <w:rStyle w:val="4"/>
          <w:rFonts w:hint="eastAsia" w:ascii="黑体" w:hAnsi="宋体" w:eastAsia="黑体" w:cs="黑体"/>
          <w:b/>
          <w:color w:val="FF0000"/>
          <w:kern w:val="1"/>
          <w:sz w:val="24"/>
          <w:szCs w:val="24"/>
          <w:lang w:val="en-US" w:eastAsia="zh-CN" w:bidi="ar"/>
        </w:rPr>
        <w:t>2017年4月20日</w:t>
      </w:r>
    </w:p>
    <w:p>
      <w:pPr>
        <w:keepNext w:val="0"/>
        <w:keepLines w:val="0"/>
        <w:widowControl/>
        <w:suppressLineNumbers w:val="0"/>
        <w:spacing w:before="0" w:beforeAutospacing="1" w:after="0" w:afterAutospacing="1" w:line="360" w:lineRule="auto"/>
        <w:ind w:left="0" w:right="0" w:firstLine="482"/>
        <w:jc w:val="left"/>
      </w:pPr>
      <w:r>
        <w:rPr>
          <w:rFonts w:hint="eastAsia" w:ascii="宋体" w:hAnsi="宋体" w:eastAsia="宋体" w:cs="宋体"/>
          <w:color w:val="000000"/>
          <w:kern w:val="1"/>
          <w:sz w:val="24"/>
          <w:szCs w:val="24"/>
          <w:lang w:val="en-US" w:eastAsia="zh-CN" w:bidi="ar"/>
        </w:rPr>
        <w:t>为扩大师生在化学生态学方面的视野，同时提高师生对化学生态学领域研究的兴趣，我院特邀请中国农业大学昆虫学系博士、教授、博士生导师石旺鹏教授来我院进行学术交流活动。此次交流活动于2017年4月20日进行，生命科学学院</w:t>
      </w:r>
      <w:r>
        <w:rPr>
          <w:rFonts w:hint="eastAsia" w:ascii="宋体" w:hAnsi="宋体" w:eastAsia="宋体" w:cs="宋体"/>
          <w:color w:val="000000"/>
          <w:kern w:val="0"/>
          <w:sz w:val="24"/>
          <w:szCs w:val="24"/>
          <w:lang w:val="en-US" w:eastAsia="zh-CN" w:bidi="ar"/>
        </w:rPr>
        <w:t>研究生及本科生，共</w:t>
      </w:r>
      <w:r>
        <w:rPr>
          <w:rFonts w:hint="eastAsia" w:ascii="Times New Roman" w:hAnsi="Times New Roman" w:eastAsia="宋体" w:cs="Times New Roman"/>
          <w:color w:val="000000"/>
          <w:kern w:val="0"/>
          <w:sz w:val="24"/>
          <w:szCs w:val="24"/>
          <w:lang w:val="en-US" w:eastAsia="zh-CN" w:bidi="ar"/>
        </w:rPr>
        <w:t>60</w:t>
      </w:r>
      <w:r>
        <w:rPr>
          <w:rFonts w:hint="eastAsia" w:ascii="宋体" w:hAnsi="宋体" w:eastAsia="宋体" w:cs="宋体"/>
          <w:color w:val="000000"/>
          <w:kern w:val="0"/>
          <w:sz w:val="24"/>
          <w:szCs w:val="24"/>
          <w:lang w:val="en-US" w:eastAsia="zh-CN" w:bidi="ar"/>
        </w:rPr>
        <w:t>余人</w:t>
      </w:r>
      <w:r>
        <w:rPr>
          <w:rFonts w:hint="eastAsia" w:ascii="宋体" w:hAnsi="宋体" w:eastAsia="宋体" w:cs="宋体"/>
          <w:color w:val="000000"/>
          <w:kern w:val="1"/>
          <w:sz w:val="24"/>
          <w:szCs w:val="24"/>
          <w:lang w:val="en-US" w:eastAsia="zh-CN" w:bidi="ar"/>
        </w:rPr>
        <w:t>参加了此次学术交流活动。</w:t>
      </w:r>
    </w:p>
    <w:p>
      <w:pPr>
        <w:keepNext w:val="0"/>
        <w:keepLines w:val="0"/>
        <w:widowControl/>
        <w:suppressLineNumbers w:val="0"/>
        <w:spacing w:before="0" w:beforeAutospacing="1" w:after="0" w:afterAutospacing="1" w:line="360" w:lineRule="auto"/>
        <w:ind w:left="0" w:right="0" w:firstLine="510"/>
        <w:jc w:val="left"/>
      </w:pPr>
      <w:r>
        <w:rPr>
          <w:rFonts w:hint="eastAsia" w:ascii="宋体" w:hAnsi="宋体" w:eastAsia="宋体" w:cs="宋体"/>
          <w:color w:val="000000"/>
          <w:kern w:val="0"/>
          <w:sz w:val="24"/>
          <w:szCs w:val="24"/>
          <w:shd w:val="clear" w:fill="FFFFFF"/>
          <w:lang w:val="en-US" w:eastAsia="zh-CN" w:bidi="ar"/>
        </w:rPr>
        <w:t>石旺鹏教授，中国农业大学昆虫学系博士、教授、博士生导师，中国植物保护学会理事，中国农业大学昆虫学系副系主任，亚洲开发银行</w:t>
      </w:r>
      <w:r>
        <w:rPr>
          <w:rFonts w:hint="eastAsia" w:ascii="宋体" w:hAnsi="宋体" w:eastAsia="宋体" w:cs="Calibri"/>
          <w:color w:val="000000"/>
          <w:kern w:val="0"/>
          <w:sz w:val="24"/>
          <w:szCs w:val="24"/>
          <w:shd w:val="clear" w:fill="FFFFFF"/>
          <w:lang w:val="en-US" w:eastAsia="zh-CN" w:bidi="ar"/>
        </w:rPr>
        <w:t>GAP首席专家。长期以来主要从事害虫生物防治、昆虫化学生态、害虫综合治理、有机农药研制开发与利用及有机农业生产技术集成与实践应用等领域的研究。多年来，主持完成和正在主持承担的研究项目有：国家自然科学基金项目（2012.12—2016.12），国家自然科学基金项目（2002.1—2004.12），“十二五”国家科技支撑计划专题2项， “十一五”科技支撑计划专题2项，国家转基因专项任务2项，梨产业技术体系项目1项，北京市科技攻关计划2项，新疆自治区科技援疆计划1项，国家外专局重点项目（2004.6-2005.6）1项，北京市公园管理中心项目（2013-2015）1项，海南省重点科技项目计划（2004.1-2006.12）1项，海南省农业科技项目计划（2013.1-2016.12）1项。发表学术及相关含SCI论文50多篇，《英汉汉英农药科技词汇》副主编，《昆虫行为学》编委，《杀虫生物学》编委 。科学研究奖励成果：2001.12:荣获教育部高等学校科学技术进步二等奖，2007.2 荣获海南省科技成果转化奖一等奖，授权国家发明专利3项，申报了国家发明专利2项；教学奖励成果：2007年获得北京市优秀辅导员奖，2008年获中国农业大学教学成果特等奖，2012年获得中国农业大学教学成果一等奖。</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宋体" w:hAnsi="宋体" w:eastAsia="宋体" w:cs="宋体"/>
          <w:color w:val="000000"/>
          <w:kern w:val="0"/>
          <w:sz w:val="24"/>
          <w:szCs w:val="24"/>
          <w:shd w:val="clear" w:fill="FFFFFF"/>
          <w:lang w:val="en-US" w:eastAsia="zh-CN" w:bidi="ar"/>
        </w:rPr>
        <w:t>石老师主要从飞蝗肠道细菌对其行为的影响及机制方面展开讲座，讲座内容丰富而生动。会后各位师生与石老师进行了积极地交流，石老师耐心认真地回答了各位师生的疑惑。</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此次学术交流活动，对</w:t>
      </w:r>
      <w:bookmarkStart w:id="0" w:name="_GoBack"/>
      <w:bookmarkEnd w:id="0"/>
      <w:r>
        <w:rPr>
          <w:rFonts w:hint="eastAsia" w:ascii="宋体" w:hAnsi="宋体" w:eastAsia="宋体" w:cs="宋体"/>
          <w:color w:val="000000"/>
          <w:kern w:val="0"/>
          <w:sz w:val="24"/>
          <w:szCs w:val="24"/>
          <w:lang w:val="en-US" w:eastAsia="zh-CN" w:bidi="ar"/>
        </w:rPr>
        <w:t>研究生培养工作和学院学科建设与发展都具有积极意义，是一次成功的学术交流活动。</w:t>
      </w:r>
    </w:p>
    <w:tbl>
      <w:tblPr>
        <w:tblW w:w="8305" w:type="dxa"/>
        <w:jc w:val="center"/>
        <w:tblCellSpacing w:w="0" w:type="dxa"/>
        <w:tblInd w:w="1" w:type="dxa"/>
        <w:shd w:val="clear"/>
        <w:tblLayout w:type="fixed"/>
        <w:tblCellMar>
          <w:top w:w="0" w:type="dxa"/>
          <w:left w:w="0" w:type="dxa"/>
          <w:bottom w:w="0" w:type="dxa"/>
          <w:right w:w="0" w:type="dxa"/>
        </w:tblCellMar>
      </w:tblPr>
      <w:tblGrid>
        <w:gridCol w:w="4146"/>
        <w:gridCol w:w="13"/>
        <w:gridCol w:w="4146"/>
      </w:tblGrid>
      <w:tr>
        <w:tblPrEx>
          <w:shd w:val="clear"/>
          <w:tblLayout w:type="fixed"/>
          <w:tblCellMar>
            <w:top w:w="0" w:type="dxa"/>
            <w:left w:w="0" w:type="dxa"/>
            <w:bottom w:w="0" w:type="dxa"/>
            <w:right w:w="0" w:type="dxa"/>
          </w:tblCellMar>
        </w:tblPrEx>
        <w:trPr>
          <w:tblCellSpacing w:w="0" w:type="dxa"/>
          <w:jc w:val="center"/>
        </w:trPr>
        <w:tc>
          <w:tcPr>
            <w:tcW w:w="4146"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162175"/>
                  <wp:effectExtent l="0" t="0" r="9525" b="9525"/>
                  <wp:docPr id="2" name="图片 1" descr="石教授深入讲解相关知识">
                    <a:hlinkClick xmlns:a="http://schemas.openxmlformats.org/drawingml/2006/main" r:id="rId4"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石教授深入讲解相关知识"/>
                          <pic:cNvPicPr>
                            <a:picLocks noChangeAspect="1"/>
                          </pic:cNvPicPr>
                        </pic:nvPicPr>
                        <pic:blipFill>
                          <a:blip r:embed="rId5"/>
                          <a:stretch>
                            <a:fillRect/>
                          </a:stretch>
                        </pic:blipFill>
                        <pic:spPr>
                          <a:xfrm>
                            <a:off x="0" y="0"/>
                            <a:ext cx="3228975" cy="2162175"/>
                          </a:xfrm>
                          <a:prstGeom prst="rect">
                            <a:avLst/>
                          </a:prstGeom>
                          <a:noFill/>
                          <a:ln w="9525">
                            <a:noFill/>
                          </a:ln>
                        </pic:spPr>
                      </pic:pic>
                    </a:graphicData>
                  </a:graphic>
                </wp:inline>
              </w:drawing>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p>
        </w:tc>
        <w:tc>
          <w:tcPr>
            <w:tcW w:w="4146"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162175"/>
                  <wp:effectExtent l="0" t="0" r="9525" b="9525"/>
                  <wp:docPr id="3" name="图片 3" descr="师生交流">
                    <a:hlinkClick xmlns:a="http://schemas.openxmlformats.org/drawingml/2006/main" r:id="rId7"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师生交流"/>
                          <pic:cNvPicPr>
                            <a:picLocks noChangeAspect="1"/>
                          </pic:cNvPicPr>
                        </pic:nvPicPr>
                        <pic:blipFill>
                          <a:blip r:embed="rId8"/>
                          <a:stretch>
                            <a:fillRect/>
                          </a:stretch>
                        </pic:blipFill>
                        <pic:spPr>
                          <a:xfrm>
                            <a:off x="0" y="0"/>
                            <a:ext cx="3228975" cy="2162175"/>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rPr>
          <w:tblCellSpacing w:w="0" w:type="dxa"/>
          <w:jc w:val="center"/>
        </w:trPr>
        <w:tc>
          <w:tcPr>
            <w:tcW w:w="4146"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石教授深入讲解相关知识</w:t>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p>
        </w:tc>
        <w:tc>
          <w:tcPr>
            <w:tcW w:w="4146"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师生交流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91C2E"/>
    <w:rsid w:val="55431A45"/>
    <w:rsid w:val="68D91C2E"/>
    <w:rsid w:val="7AA0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62626"/>
      <w:sz w:val="18"/>
      <w:szCs w:val="18"/>
      <w:u w:val="none"/>
    </w:rPr>
  </w:style>
  <w:style w:type="character" w:styleId="6">
    <w:name w:val="Hyperlink"/>
    <w:basedOn w:val="3"/>
    <w:uiPriority w:val="0"/>
    <w:rPr>
      <w:color w:val="262626"/>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smkxxy.xjnu.edu.cn/control/FCKeditor/editor/dialog/showOriginalImg.html?img=/picture/article/95/2d/85/c03b659d48209ca646e76b8fd0a3/7fd40c3f-9fe9-4667-a8f9-3d826172e81a_d.png" TargetMode="Externa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smkxxy.xjnu.edu.cn/control/FCKeditor/editor/dialog/showOriginalImg.html?img=/picture/article/95/2d/85/c03b659d48209ca646e76b8fd0a3/07b3e42a-9ffd-4dfe-b1a2-044d93061484_d.png"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2017-09-21T08:32:00Z</dcterms:created>
  <dc:creator>lenovo</dc:creator>
  <cp:lastModifiedBy>lenovo</cp:lastModifiedBy>
  <dcterms:modified xsi:type="dcterms:W3CDTF">2017-09-21T08:34:53Z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